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854AB8">
        <w:rPr>
          <w:rFonts w:eastAsia="MingLiU" w:cs="Times New Roman"/>
          <w:b/>
          <w:i/>
          <w:color w:val="7030A0"/>
          <w:kern w:val="36"/>
          <w:sz w:val="28"/>
          <w:szCs w:val="28"/>
          <w:lang w:eastAsia="ru-RU"/>
        </w:rPr>
        <w:t>2</w:t>
      </w:r>
      <w:r w:rsidR="00627CAB">
        <w:rPr>
          <w:rFonts w:eastAsia="MingLiU" w:cs="Times New Roman"/>
          <w:b/>
          <w:i/>
          <w:color w:val="7030A0"/>
          <w:kern w:val="36"/>
          <w:sz w:val="28"/>
          <w:szCs w:val="28"/>
          <w:lang w:eastAsia="ru-RU"/>
        </w:rPr>
        <w:t>8</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0C3841" w:rsidRDefault="007A7857"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0C3841">
        <w:rPr>
          <w:rFonts w:ascii="Times New Roman" w:eastAsia="Times New Roman" w:hAnsi="Times New Roman" w:cs="Times New Roman"/>
          <w:b/>
          <w:caps/>
          <w:color w:val="000000"/>
          <w:kern w:val="36"/>
          <w:sz w:val="28"/>
          <w:szCs w:val="28"/>
          <w:lang w:eastAsia="ru-RU"/>
        </w:rPr>
        <w:t xml:space="preserve">особенности формирования фонда </w:t>
      </w:r>
    </w:p>
    <w:p w:rsidR="00CB3EDF" w:rsidRPr="000B2C11" w:rsidRDefault="000C3841"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капремонта на спецсчете</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Сколько спецсчетов должно быть открыто ТСЖ, </w:t>
      </w:r>
    </w:p>
    <w:p w:rsidR="00681C8C"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если ТСЖ объединяет несколько многоквартирных домов? Можно ли открыть один спецсчет</w:t>
      </w:r>
      <w:r w:rsidR="00681C8C">
        <w:rPr>
          <w:rFonts w:ascii="Times New Roman" w:hAnsi="Times New Roman" w:cs="Times New Roman"/>
          <w:b/>
          <w:i/>
          <w:color w:val="0070C0"/>
          <w:sz w:val="32"/>
          <w:szCs w:val="32"/>
          <w:u w:val="single"/>
        </w:rPr>
        <w:t>?</w:t>
      </w:r>
    </w:p>
    <w:p w:rsidR="00681C8C" w:rsidRPr="000C3841" w:rsidRDefault="00681C8C" w:rsidP="00BE23AA">
      <w:pPr>
        <w:shd w:val="clear" w:color="auto" w:fill="FFFFFF"/>
        <w:spacing w:after="0" w:line="240" w:lineRule="auto"/>
        <w:jc w:val="center"/>
        <w:rPr>
          <w:rFonts w:ascii="Times New Roman" w:hAnsi="Times New Roman" w:cs="Times New Roman"/>
          <w:color w:val="0070C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Согласно части 4 статьи 175 ЖК РФ собственники помещений в одном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Необходимо отметить, что в отношении ТСЖ пунктом 1 части 2 статьи 175 ЖК РФ установлены ограничения, согласно которым владельцем специального счета может быть ТСЖ,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BE23AA" w:rsidRPr="00BE23AA" w:rsidRDefault="00547A28" w:rsidP="00627CAB">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Количество квартир (жилых и/или нежилых) помещений в многоквартирных домах не является решающим фактором в рассматриваемой ситуации.</w:t>
      </w:r>
    </w:p>
    <w:p w:rsidR="00547A28" w:rsidRDefault="00547A28" w:rsidP="00BE23AA">
      <w:pPr>
        <w:pStyle w:val="a3"/>
        <w:shd w:val="clear" w:color="auto" w:fill="FFFFFF"/>
        <w:spacing w:before="0" w:beforeAutospacing="0" w:after="0" w:afterAutospacing="0"/>
        <w:ind w:left="720"/>
        <w:jc w:val="center"/>
        <w:rPr>
          <w:rFonts w:eastAsiaTheme="minorHAnsi"/>
          <w:b/>
          <w:i/>
          <w:color w:val="0070C0"/>
          <w:sz w:val="32"/>
          <w:szCs w:val="32"/>
          <w:u w:val="single"/>
          <w:lang w:eastAsia="en-US"/>
        </w:rPr>
      </w:pPr>
      <w:r w:rsidRPr="00547A28">
        <w:rPr>
          <w:rFonts w:eastAsiaTheme="minorHAnsi"/>
          <w:b/>
          <w:i/>
          <w:color w:val="0070C0"/>
          <w:sz w:val="32"/>
          <w:szCs w:val="32"/>
          <w:u w:val="single"/>
          <w:lang w:eastAsia="en-US"/>
        </w:rPr>
        <w:lastRenderedPageBreak/>
        <w:t xml:space="preserve">При формировании фонда капитального ремонта на специальном счёте, владельцем которого является ТСЖ, возможно ли проведение капитального ремонта частями, по мере накопления средств? Например произвести капитальный ремонт крыши потом, через какое-то </w:t>
      </w:r>
    </w:p>
    <w:p w:rsidR="00547A28" w:rsidRDefault="00547A28" w:rsidP="00BE23AA">
      <w:pPr>
        <w:pStyle w:val="a3"/>
        <w:shd w:val="clear" w:color="auto" w:fill="FFFFFF"/>
        <w:spacing w:before="0" w:beforeAutospacing="0" w:after="0" w:afterAutospacing="0"/>
        <w:ind w:left="720"/>
        <w:jc w:val="center"/>
        <w:rPr>
          <w:rFonts w:ascii="Arial" w:hAnsi="Arial" w:cs="Arial"/>
          <w:color w:val="000000"/>
          <w:sz w:val="21"/>
          <w:szCs w:val="21"/>
        </w:rPr>
      </w:pPr>
      <w:r w:rsidRPr="00547A28">
        <w:rPr>
          <w:rFonts w:eastAsiaTheme="minorHAnsi"/>
          <w:b/>
          <w:i/>
          <w:color w:val="0070C0"/>
          <w:sz w:val="32"/>
          <w:szCs w:val="32"/>
          <w:u w:val="single"/>
          <w:lang w:eastAsia="en-US"/>
        </w:rPr>
        <w:t>время капитальный ремонт фасада</w:t>
      </w:r>
      <w:r>
        <w:rPr>
          <w:rFonts w:eastAsiaTheme="minorHAnsi"/>
          <w:b/>
          <w:i/>
          <w:color w:val="0070C0"/>
          <w:sz w:val="32"/>
          <w:szCs w:val="32"/>
          <w:u w:val="single"/>
          <w:lang w:eastAsia="en-US"/>
        </w:rPr>
        <w:t xml:space="preserve"> и т.д.</w:t>
      </w:r>
    </w:p>
    <w:p w:rsidR="00547A28" w:rsidRPr="00BE23AA" w:rsidRDefault="00547A28" w:rsidP="00BE23AA">
      <w:pPr>
        <w:pStyle w:val="a3"/>
        <w:shd w:val="clear" w:color="auto" w:fill="FFFFFF"/>
        <w:spacing w:before="0" w:beforeAutospacing="0" w:after="0" w:afterAutospacing="0"/>
        <w:ind w:left="720"/>
        <w:rPr>
          <w:color w:val="00000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Из совокупности положений частей 4.1 и 4.2 статьи 170 ЖК РФ следует, что общее собрание собственников помещений в МКД вправе принять решение о проведении капитального ремонта общего имущества в МКД раньше срока, установленного региональной программой капитального ремонта при условии если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Собственники в любое время вправе принять решение о проведении капитального ремонта общего имущества в МКД по предложению лица, осуществляющего управление таким домом или оказание услуг и (или) выполнение работ по содержанию и ремонту общего имущества в МКД либо по собственной инициативе (часть 2 статьи 189 ЖК РФ).</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Решением общего собрания собственников помещений в МКД о проведении капитального ремонта общего имущества в этом многоквартирном доме должны быть определены или утверждены:</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1) перечень услуг и (или) работ по капитальному ремонту;</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2) смета расходов на капитальный ремонт;</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3) сроки проведения капитального ремонта;</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4) источники финансирования капитального ремонта;</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5) лицо,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 xml:space="preserve">При этом частью 7 статьи 189 ЖК РФ определено, что в случае, если капитальный ремонт общего имущества в МКД, собственники помещений в котором формируют фонд капитального ремонта на специальном счете, не </w:t>
      </w:r>
      <w:r w:rsidRPr="00BE23AA">
        <w:rPr>
          <w:color w:val="000000"/>
          <w:sz w:val="28"/>
          <w:szCs w:val="28"/>
        </w:rPr>
        <w:lastRenderedPageBreak/>
        <w:t>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w:t>
      </w:r>
    </w:p>
    <w:p w:rsidR="00BE23AA" w:rsidRPr="00BE23AA" w:rsidRDefault="00BE23AA" w:rsidP="00BE23AA">
      <w:pPr>
        <w:pStyle w:val="a3"/>
        <w:shd w:val="clear" w:color="auto" w:fill="FFFFFF"/>
        <w:spacing w:before="0" w:beforeAutospacing="0" w:after="0" w:afterAutospacing="0"/>
        <w:ind w:firstLine="708"/>
        <w:jc w:val="both"/>
        <w:rPr>
          <w:color w:val="000000"/>
          <w:sz w:val="28"/>
          <w:szCs w:val="28"/>
        </w:rPr>
      </w:pP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В случае формирования фонда капитального ремонта </w:t>
      </w: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на специальном счете каким образом выставляются </w:t>
      </w: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платежные документы? Кто будет осуществлять </w:t>
      </w: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контроль наличия задолженности по уплате </w:t>
      </w: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взносов и осуществлять претензионную</w:t>
      </w:r>
      <w:r>
        <w:rPr>
          <w:rFonts w:ascii="Times New Roman" w:hAnsi="Times New Roman" w:cs="Times New Roman"/>
          <w:b/>
          <w:i/>
          <w:color w:val="0070C0"/>
          <w:sz w:val="32"/>
          <w:szCs w:val="32"/>
          <w:u w:val="single"/>
        </w:rPr>
        <w:t xml:space="preserve"> работу?</w:t>
      </w:r>
    </w:p>
    <w:p w:rsidR="00547A28" w:rsidRPr="00BE23AA" w:rsidRDefault="00547A28" w:rsidP="00BE23AA">
      <w:pPr>
        <w:pStyle w:val="a3"/>
        <w:shd w:val="clear" w:color="auto" w:fill="FFFFFF"/>
        <w:spacing w:before="0" w:beforeAutospacing="0" w:after="0" w:afterAutospacing="0"/>
        <w:ind w:left="720"/>
        <w:rPr>
          <w:color w:val="00000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В соответствии с частью 2 статьи 171 Жилищного кодекса Российской Федерации (далее –Жилищного кодекса, ЖК РФ),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Жилищного кодекса РФ, если иные порядок и условия не определены решением общего собрания собственников помещений в многоквартирном доме.</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В свою очередь, частью 2 статьи 155 Жилищного кодекса РФ закреплено, что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ГИС ЖКХ),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ТСЖ, ЖК, ЖСК.</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В соответствии с внесенной в ЖК РФ новой частью 3.1 статьи 175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осуществляется по согласованию с ним.</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Собственники могут принять решение как об оплате взносов по единому платежному документу за все жилищно-коммунальные услуги, в котором отдельной строкой выделяется взнос за капитальный ремонт, так и по отдельному платежному документу. Необходимо отметить, что даже при оплате по единой квитанции взносы на капитальный ремонт все равно уплачиваются на специальный счет.</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Примерная форма платежного документа для внесения платы за содержание и ремонт жилого помещения и предоставление коммунальных услуг с указанием в числе услуг взноса на капитальный ремонт утверждена приказом Министерства строительства и жилищно-коммунального хозяйства РФ от 29 декабря 2014 г. № 924/пр.</w:t>
      </w:r>
    </w:p>
    <w:p w:rsidR="00547A28"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lastRenderedPageBreak/>
        <w:t>Лицо, осуществляющее контроль по формированию задолженности, определяется решением общего собрания собственников.</w:t>
      </w:r>
    </w:p>
    <w:p w:rsidR="00BE23AA" w:rsidRDefault="00BE23AA" w:rsidP="00BE23AA">
      <w:pPr>
        <w:pStyle w:val="a3"/>
        <w:shd w:val="clear" w:color="auto" w:fill="FFFFFF"/>
        <w:spacing w:before="0" w:beforeAutospacing="0" w:after="0" w:afterAutospacing="0"/>
        <w:jc w:val="both"/>
        <w:rPr>
          <w:rFonts w:ascii="Arial" w:hAnsi="Arial" w:cs="Arial"/>
          <w:color w:val="000000"/>
          <w:sz w:val="21"/>
          <w:szCs w:val="21"/>
        </w:rPr>
      </w:pPr>
    </w:p>
    <w:p w:rsidR="00BE23AA" w:rsidRDefault="00BE23AA" w:rsidP="00BE23AA">
      <w:pPr>
        <w:shd w:val="clear" w:color="auto" w:fill="FFFFFF"/>
        <w:spacing w:after="0" w:line="240" w:lineRule="auto"/>
        <w:jc w:val="center"/>
        <w:rPr>
          <w:rFonts w:ascii="Times New Roman" w:hAnsi="Times New Roman" w:cs="Times New Roman"/>
          <w:b/>
          <w:i/>
          <w:color w:val="0070C0"/>
          <w:sz w:val="32"/>
          <w:szCs w:val="32"/>
          <w:u w:val="single"/>
        </w:rPr>
      </w:pPr>
      <w:r w:rsidRPr="00BE23AA">
        <w:rPr>
          <w:rFonts w:ascii="Times New Roman" w:hAnsi="Times New Roman" w:cs="Times New Roman"/>
          <w:b/>
          <w:i/>
          <w:color w:val="0070C0"/>
          <w:sz w:val="32"/>
          <w:szCs w:val="32"/>
          <w:u w:val="single"/>
        </w:rPr>
        <w:t xml:space="preserve">Есть ли какой-нибудь минимум, который должен </w:t>
      </w:r>
    </w:p>
    <w:p w:rsidR="00547A28" w:rsidRDefault="00BE23AA" w:rsidP="00BE23AA">
      <w:pPr>
        <w:shd w:val="clear" w:color="auto" w:fill="FFFFFF"/>
        <w:spacing w:after="0" w:line="240" w:lineRule="auto"/>
        <w:jc w:val="center"/>
        <w:rPr>
          <w:rFonts w:ascii="Times New Roman" w:hAnsi="Times New Roman" w:cs="Times New Roman"/>
          <w:b/>
          <w:i/>
          <w:color w:val="0070C0"/>
          <w:sz w:val="32"/>
          <w:szCs w:val="32"/>
          <w:u w:val="single"/>
        </w:rPr>
      </w:pPr>
      <w:r w:rsidRPr="00BE23AA">
        <w:rPr>
          <w:rFonts w:ascii="Times New Roman" w:hAnsi="Times New Roman" w:cs="Times New Roman"/>
          <w:b/>
          <w:i/>
          <w:color w:val="0070C0"/>
          <w:sz w:val="32"/>
          <w:szCs w:val="32"/>
          <w:u w:val="single"/>
        </w:rPr>
        <w:t>быть накоплен на специальном счете ЖСК</w:t>
      </w:r>
      <w:r w:rsidR="00547A28">
        <w:rPr>
          <w:rFonts w:ascii="Times New Roman" w:hAnsi="Times New Roman" w:cs="Times New Roman"/>
          <w:b/>
          <w:i/>
          <w:color w:val="0070C0"/>
          <w:sz w:val="32"/>
          <w:szCs w:val="32"/>
          <w:u w:val="single"/>
        </w:rPr>
        <w:t>?</w:t>
      </w:r>
    </w:p>
    <w:p w:rsidR="00547A28" w:rsidRPr="00BE23AA" w:rsidRDefault="00547A28" w:rsidP="00BE23AA">
      <w:pPr>
        <w:pStyle w:val="a3"/>
        <w:shd w:val="clear" w:color="auto" w:fill="FFFFFF"/>
        <w:spacing w:before="0" w:beforeAutospacing="0" w:after="0" w:afterAutospacing="0"/>
        <w:ind w:left="720"/>
        <w:rPr>
          <w:color w:val="00000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Минимальный фонд капитального ремонта может быть установлен субъектом РФ (часть 8 статьи 170 ЖК РФ).</w:t>
      </w:r>
    </w:p>
    <w:p w:rsidR="00547A28"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w:t>
      </w:r>
    </w:p>
    <w:p w:rsidR="00BE23AA" w:rsidRPr="00BE23AA" w:rsidRDefault="00BE23AA" w:rsidP="00BE23AA">
      <w:pPr>
        <w:pStyle w:val="a3"/>
        <w:shd w:val="clear" w:color="auto" w:fill="FFFFFF"/>
        <w:spacing w:before="0" w:beforeAutospacing="0" w:after="0" w:afterAutospacing="0"/>
        <w:ind w:firstLine="708"/>
        <w:jc w:val="both"/>
        <w:rPr>
          <w:color w:val="000000"/>
          <w:sz w:val="28"/>
          <w:szCs w:val="28"/>
        </w:rPr>
      </w:pPr>
    </w:p>
    <w:p w:rsidR="00BE23AA"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 xml:space="preserve">Кто будет осуществлять контроль по формированию задолженности на специальном счете, если счет будет оформлен на физическое лицо? Если УК, которая управляет домом, добавит строку "капитальный ремонт" в общую квитанцию по выплатам, каким образом будут деньги переходить на счет? Какие банки отвечают требованию </w:t>
      </w:r>
    </w:p>
    <w:p w:rsidR="00547A28" w:rsidRDefault="00547A28" w:rsidP="00BE23AA">
      <w:pPr>
        <w:shd w:val="clear" w:color="auto" w:fill="FFFFFF"/>
        <w:spacing w:after="0" w:line="240" w:lineRule="auto"/>
        <w:jc w:val="center"/>
        <w:rPr>
          <w:rFonts w:ascii="Times New Roman" w:hAnsi="Times New Roman" w:cs="Times New Roman"/>
          <w:b/>
          <w:i/>
          <w:color w:val="0070C0"/>
          <w:sz w:val="32"/>
          <w:szCs w:val="32"/>
          <w:u w:val="single"/>
        </w:rPr>
      </w:pPr>
      <w:r w:rsidRPr="00547A28">
        <w:rPr>
          <w:rFonts w:ascii="Times New Roman" w:hAnsi="Times New Roman" w:cs="Times New Roman"/>
          <w:b/>
          <w:i/>
          <w:color w:val="0070C0"/>
          <w:sz w:val="32"/>
          <w:szCs w:val="32"/>
          <w:u w:val="single"/>
        </w:rPr>
        <w:t>для открытия специального счета в нашем регионе</w:t>
      </w:r>
      <w:r>
        <w:rPr>
          <w:rFonts w:ascii="Times New Roman" w:hAnsi="Times New Roman" w:cs="Times New Roman"/>
          <w:b/>
          <w:i/>
          <w:color w:val="0070C0"/>
          <w:sz w:val="32"/>
          <w:szCs w:val="32"/>
          <w:u w:val="single"/>
        </w:rPr>
        <w:t>?</w:t>
      </w:r>
    </w:p>
    <w:p w:rsidR="00547A28" w:rsidRPr="00BE23AA" w:rsidRDefault="00547A28" w:rsidP="00BE23AA">
      <w:pPr>
        <w:pStyle w:val="a3"/>
        <w:shd w:val="clear" w:color="auto" w:fill="FFFFFF"/>
        <w:spacing w:before="0" w:beforeAutospacing="0" w:after="0" w:afterAutospacing="0"/>
        <w:ind w:left="720"/>
        <w:rPr>
          <w:color w:val="00000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Жилищным кодексом РФ (части 2 и 3 статьи 175 ЖК РФ) определено, что владельцем специального счета могут быть:</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 ТСЖ, осуществляющее управление МКД и созданное собственниками помещений в одном МКД или нескольких МКД;</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 осуществляющий управление МКД жилищный кооператив;</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 управляющая организация, осуществляющая управление МКД на основании договора управления;</w:t>
      </w:r>
    </w:p>
    <w:p w:rsidR="00547A28" w:rsidRPr="00BE23AA" w:rsidRDefault="00547A28" w:rsidP="00BE23AA">
      <w:pPr>
        <w:pStyle w:val="a3"/>
        <w:shd w:val="clear" w:color="auto" w:fill="FFFFFF"/>
        <w:spacing w:before="0" w:beforeAutospacing="0" w:after="0" w:afterAutospacing="0"/>
        <w:ind w:left="708" w:firstLine="708"/>
        <w:jc w:val="both"/>
        <w:rPr>
          <w:color w:val="000000"/>
          <w:sz w:val="28"/>
          <w:szCs w:val="28"/>
        </w:rPr>
      </w:pPr>
      <w:r w:rsidRPr="00BE23AA">
        <w:rPr>
          <w:color w:val="000000"/>
          <w:sz w:val="28"/>
          <w:szCs w:val="28"/>
        </w:rPr>
        <w:t>- региональный оператор.</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Физическое лицо не может быть владельцем специального счета. Если на общем собрании собственники приняли решение о выборе физического лица в качестве владельца специального счета, то такое решение будет признано нелегитимным.</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 xml:space="preserve">В случае формирования фонда капитального ремонта на специальном счете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порядок представления платежных документов и размер расходов, связанных с представлением платежных документов, условия оплаты этих услуг определяется решением общего собрания собственников помещений в МКД. При этом выбор </w:t>
      </w:r>
      <w:r w:rsidRPr="00BE23AA">
        <w:rPr>
          <w:color w:val="000000"/>
          <w:sz w:val="28"/>
          <w:szCs w:val="28"/>
        </w:rPr>
        <w:lastRenderedPageBreak/>
        <w:t>уполномоченного лица, указанного в настоящем пункте, осуществляется по согласованию с ним.</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Это может быть, как единый платежный документ за все жилищно-коммунальные услуги, в котором отдельной строкой выделяется взнос за капитальный ремонт, так и отдельный платежный документ.</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Лицо, осуществляющее контроль за задолженностью, также определяется решением общего собрания собственников помещений в МКД.</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таких кредитных организациях на своем официальном сайте в сети "Интернет" (часть 2 статья 176 ЖК РФ) (http://www.cbr.ru/credit/listfz.asp).</w:t>
      </w:r>
    </w:p>
    <w:p w:rsidR="00547A28"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BE23AA" w:rsidRPr="00BE23AA" w:rsidRDefault="00BE23AA" w:rsidP="00BE23AA">
      <w:pPr>
        <w:pStyle w:val="a3"/>
        <w:shd w:val="clear" w:color="auto" w:fill="FFFFFF"/>
        <w:spacing w:before="0" w:beforeAutospacing="0" w:after="0" w:afterAutospacing="0"/>
        <w:ind w:firstLine="708"/>
        <w:jc w:val="both"/>
        <w:rPr>
          <w:color w:val="000000"/>
          <w:sz w:val="28"/>
          <w:szCs w:val="28"/>
        </w:rPr>
      </w:pPr>
    </w:p>
    <w:p w:rsidR="00BE23AA" w:rsidRDefault="00BE23AA" w:rsidP="00BE23AA">
      <w:pPr>
        <w:shd w:val="clear" w:color="auto" w:fill="FFFFFF"/>
        <w:spacing w:after="0" w:line="240" w:lineRule="auto"/>
        <w:jc w:val="center"/>
        <w:rPr>
          <w:rFonts w:ascii="Times New Roman" w:hAnsi="Times New Roman" w:cs="Times New Roman"/>
          <w:b/>
          <w:i/>
          <w:color w:val="0070C0"/>
          <w:sz w:val="32"/>
          <w:szCs w:val="32"/>
          <w:u w:val="single"/>
        </w:rPr>
      </w:pPr>
      <w:r w:rsidRPr="00BE23AA">
        <w:rPr>
          <w:rFonts w:ascii="Times New Roman" w:hAnsi="Times New Roman" w:cs="Times New Roman"/>
          <w:b/>
          <w:i/>
          <w:color w:val="0070C0"/>
          <w:sz w:val="32"/>
          <w:szCs w:val="32"/>
          <w:u w:val="single"/>
        </w:rPr>
        <w:t xml:space="preserve">Могут ли собственники дома накапливать средства </w:t>
      </w:r>
    </w:p>
    <w:p w:rsidR="00BE23AA" w:rsidRDefault="00BE23AA" w:rsidP="00BE23AA">
      <w:pPr>
        <w:shd w:val="clear" w:color="auto" w:fill="FFFFFF"/>
        <w:spacing w:after="0" w:line="240" w:lineRule="auto"/>
        <w:jc w:val="center"/>
        <w:rPr>
          <w:rFonts w:ascii="Times New Roman" w:hAnsi="Times New Roman" w:cs="Times New Roman"/>
          <w:b/>
          <w:i/>
          <w:color w:val="0070C0"/>
          <w:sz w:val="32"/>
          <w:szCs w:val="32"/>
          <w:u w:val="single"/>
        </w:rPr>
      </w:pPr>
      <w:r w:rsidRPr="00BE23AA">
        <w:rPr>
          <w:rFonts w:ascii="Times New Roman" w:hAnsi="Times New Roman" w:cs="Times New Roman"/>
          <w:b/>
          <w:i/>
          <w:color w:val="0070C0"/>
          <w:sz w:val="32"/>
          <w:szCs w:val="32"/>
          <w:u w:val="single"/>
        </w:rPr>
        <w:t xml:space="preserve">на специальном счете управляющей организации, </w:t>
      </w:r>
    </w:p>
    <w:p w:rsidR="00547A28" w:rsidRDefault="00BE23AA" w:rsidP="00BE23AA">
      <w:pPr>
        <w:shd w:val="clear" w:color="auto" w:fill="FFFFFF"/>
        <w:spacing w:after="0" w:line="240" w:lineRule="auto"/>
        <w:jc w:val="center"/>
        <w:rPr>
          <w:rFonts w:ascii="Times New Roman" w:hAnsi="Times New Roman" w:cs="Times New Roman"/>
          <w:b/>
          <w:i/>
          <w:color w:val="0070C0"/>
          <w:sz w:val="32"/>
          <w:szCs w:val="32"/>
          <w:u w:val="single"/>
        </w:rPr>
      </w:pPr>
      <w:r w:rsidRPr="00BE23AA">
        <w:rPr>
          <w:rFonts w:ascii="Times New Roman" w:hAnsi="Times New Roman" w:cs="Times New Roman"/>
          <w:b/>
          <w:i/>
          <w:color w:val="0070C0"/>
          <w:sz w:val="32"/>
          <w:szCs w:val="32"/>
          <w:u w:val="single"/>
        </w:rPr>
        <w:t>осуществляющей управление таким домом</w:t>
      </w:r>
      <w:r w:rsidR="00547A28">
        <w:rPr>
          <w:rFonts w:ascii="Times New Roman" w:hAnsi="Times New Roman" w:cs="Times New Roman"/>
          <w:b/>
          <w:i/>
          <w:color w:val="0070C0"/>
          <w:sz w:val="32"/>
          <w:szCs w:val="32"/>
          <w:u w:val="single"/>
        </w:rPr>
        <w:t>?</w:t>
      </w:r>
    </w:p>
    <w:p w:rsidR="00547A28" w:rsidRPr="00BE23AA" w:rsidRDefault="00547A28" w:rsidP="00BE23AA">
      <w:pPr>
        <w:pStyle w:val="a3"/>
        <w:shd w:val="clear" w:color="auto" w:fill="FFFFFF"/>
        <w:spacing w:before="0" w:beforeAutospacing="0" w:after="0" w:afterAutospacing="0"/>
        <w:ind w:left="720"/>
        <w:rPr>
          <w:color w:val="000000"/>
          <w:sz w:val="20"/>
          <w:szCs w:val="20"/>
        </w:rPr>
      </w:pP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Право выбора способа формирования фонда капитального ремонта есть у всех собственников помещений в многоквартирном доме, независимо от выбранного ими способа управления. В случае управления многоквартирным домом управляющей организацией собственники помещений в МКД могут накапливать взносы на капитальный ремонт как на специальном счете, так и на счете регионального оператора.</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Согласно пункту 3 части 2 статьи 175 Жилищного кодекса РФ управляющая организация, осуществляющая управление МКД на основании договора управления, может быть определена владельцем специального счета.</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Решение о выборе способа формирования фонда капитального ремонта и об определении владельца специального счета в соответствии с частью 1 статьи 46 ЖК РФ принимается большинством не менее двух третей голосов от общего количества голосов собственников помещений в МКД.</w:t>
      </w:r>
    </w:p>
    <w:p w:rsidR="00547A28" w:rsidRPr="00BE23AA" w:rsidRDefault="00547A28" w:rsidP="00BE23AA">
      <w:pPr>
        <w:pStyle w:val="a3"/>
        <w:shd w:val="clear" w:color="auto" w:fill="FFFFFF"/>
        <w:spacing w:before="0" w:beforeAutospacing="0" w:after="0" w:afterAutospacing="0"/>
        <w:ind w:firstLine="708"/>
        <w:jc w:val="both"/>
        <w:rPr>
          <w:color w:val="000000"/>
          <w:sz w:val="28"/>
          <w:szCs w:val="28"/>
        </w:rPr>
      </w:pPr>
      <w:r w:rsidRPr="00BE23AA">
        <w:rPr>
          <w:color w:val="000000"/>
          <w:sz w:val="28"/>
          <w:szCs w:val="28"/>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(часть 2 статьи 176 ЖК РФ).</w:t>
      </w:r>
    </w:p>
    <w:p w:rsidR="00681C8C" w:rsidRPr="00681C8C" w:rsidRDefault="00681C8C" w:rsidP="00BE23AA">
      <w:pPr>
        <w:pStyle w:val="a3"/>
        <w:shd w:val="clear" w:color="auto" w:fill="FFFFFF"/>
        <w:spacing w:before="0" w:beforeAutospacing="0" w:after="0" w:afterAutospacing="0"/>
        <w:jc w:val="both"/>
        <w:rPr>
          <w:color w:val="000000"/>
          <w:sz w:val="28"/>
          <w:szCs w:val="28"/>
        </w:rPr>
      </w:pPr>
    </w:p>
    <w:sectPr w:rsidR="00681C8C" w:rsidRPr="00681C8C" w:rsidSect="00BE23AA">
      <w:footerReference w:type="default" r:id="rId9"/>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42" w:rsidRDefault="00C00A42" w:rsidP="00BE23AA">
      <w:pPr>
        <w:spacing w:after="0" w:line="240" w:lineRule="auto"/>
      </w:pPr>
      <w:r>
        <w:separator/>
      </w:r>
    </w:p>
  </w:endnote>
  <w:endnote w:type="continuationSeparator" w:id="1">
    <w:p w:rsidR="00C00A42" w:rsidRDefault="00C00A42"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9127"/>
      <w:docPartObj>
        <w:docPartGallery w:val="Page Numbers (Bottom of Page)"/>
        <w:docPartUnique/>
      </w:docPartObj>
    </w:sdtPr>
    <w:sdtContent>
      <w:p w:rsidR="00BE23AA" w:rsidRDefault="00BE23AA">
        <w:pPr>
          <w:pStyle w:val="ae"/>
          <w:jc w:val="right"/>
        </w:pPr>
        <w:fldSimple w:instr=" PAGE   \* MERGEFORMAT ">
          <w:r w:rsidR="00627CAB">
            <w:rPr>
              <w:noProof/>
            </w:rPr>
            <w:t>4</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42" w:rsidRDefault="00C00A42" w:rsidP="00BE23AA">
      <w:pPr>
        <w:spacing w:after="0" w:line="240" w:lineRule="auto"/>
      </w:pPr>
      <w:r>
        <w:separator/>
      </w:r>
    </w:p>
  </w:footnote>
  <w:footnote w:type="continuationSeparator" w:id="1">
    <w:p w:rsidR="00C00A42" w:rsidRDefault="00C00A42"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3"/>
  </w:num>
  <w:num w:numId="4">
    <w:abstractNumId w:val="13"/>
  </w:num>
  <w:num w:numId="5">
    <w:abstractNumId w:val="25"/>
  </w:num>
  <w:num w:numId="6">
    <w:abstractNumId w:val="7"/>
  </w:num>
  <w:num w:numId="7">
    <w:abstractNumId w:val="17"/>
  </w:num>
  <w:num w:numId="8">
    <w:abstractNumId w:val="23"/>
  </w:num>
  <w:num w:numId="9">
    <w:abstractNumId w:val="22"/>
  </w:num>
  <w:num w:numId="10">
    <w:abstractNumId w:val="4"/>
  </w:num>
  <w:num w:numId="11">
    <w:abstractNumId w:val="12"/>
  </w:num>
  <w:num w:numId="12">
    <w:abstractNumId w:val="2"/>
  </w:num>
  <w:num w:numId="13">
    <w:abstractNumId w:val="1"/>
  </w:num>
  <w:num w:numId="14">
    <w:abstractNumId w:val="20"/>
  </w:num>
  <w:num w:numId="15">
    <w:abstractNumId w:val="27"/>
  </w:num>
  <w:num w:numId="16">
    <w:abstractNumId w:val="26"/>
  </w:num>
  <w:num w:numId="17">
    <w:abstractNumId w:val="24"/>
  </w:num>
  <w:num w:numId="18">
    <w:abstractNumId w:val="18"/>
  </w:num>
  <w:num w:numId="19">
    <w:abstractNumId w:val="10"/>
  </w:num>
  <w:num w:numId="20">
    <w:abstractNumId w:val="8"/>
  </w:num>
  <w:num w:numId="21">
    <w:abstractNumId w:val="5"/>
  </w:num>
  <w:num w:numId="22">
    <w:abstractNumId w:val="14"/>
  </w:num>
  <w:num w:numId="23">
    <w:abstractNumId w:val="6"/>
  </w:num>
  <w:num w:numId="24">
    <w:abstractNumId w:val="16"/>
  </w:num>
  <w:num w:numId="25">
    <w:abstractNumId w:val="0"/>
  </w:num>
  <w:num w:numId="26">
    <w:abstractNumId w:val="19"/>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B2C11"/>
    <w:rsid w:val="000C3841"/>
    <w:rsid w:val="000D10DD"/>
    <w:rsid w:val="000D2BFF"/>
    <w:rsid w:val="000D7114"/>
    <w:rsid w:val="00104E0E"/>
    <w:rsid w:val="00107B38"/>
    <w:rsid w:val="001469A6"/>
    <w:rsid w:val="001575C8"/>
    <w:rsid w:val="00183F27"/>
    <w:rsid w:val="001C4C68"/>
    <w:rsid w:val="001C4E84"/>
    <w:rsid w:val="001C6354"/>
    <w:rsid w:val="001D123E"/>
    <w:rsid w:val="001F09B8"/>
    <w:rsid w:val="0020570B"/>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5467"/>
    <w:rsid w:val="0034532F"/>
    <w:rsid w:val="003478B6"/>
    <w:rsid w:val="00360800"/>
    <w:rsid w:val="003637C4"/>
    <w:rsid w:val="00367D68"/>
    <w:rsid w:val="00376452"/>
    <w:rsid w:val="00385941"/>
    <w:rsid w:val="00387641"/>
    <w:rsid w:val="00390BBD"/>
    <w:rsid w:val="00397BB3"/>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36013"/>
    <w:rsid w:val="0054320E"/>
    <w:rsid w:val="00547A28"/>
    <w:rsid w:val="0055068B"/>
    <w:rsid w:val="005554BF"/>
    <w:rsid w:val="005A6131"/>
    <w:rsid w:val="005B3D49"/>
    <w:rsid w:val="005B7BD5"/>
    <w:rsid w:val="005D6455"/>
    <w:rsid w:val="005F00C3"/>
    <w:rsid w:val="005F37AA"/>
    <w:rsid w:val="005F4B78"/>
    <w:rsid w:val="005F671E"/>
    <w:rsid w:val="006277A3"/>
    <w:rsid w:val="00627CAB"/>
    <w:rsid w:val="00631AAE"/>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733270"/>
    <w:rsid w:val="00744935"/>
    <w:rsid w:val="007954D5"/>
    <w:rsid w:val="0079562A"/>
    <w:rsid w:val="007A7857"/>
    <w:rsid w:val="007B03EC"/>
    <w:rsid w:val="007D1791"/>
    <w:rsid w:val="007D43B6"/>
    <w:rsid w:val="007E07D6"/>
    <w:rsid w:val="007F1E6F"/>
    <w:rsid w:val="00803813"/>
    <w:rsid w:val="008157E9"/>
    <w:rsid w:val="00854AB8"/>
    <w:rsid w:val="00856BFD"/>
    <w:rsid w:val="00862442"/>
    <w:rsid w:val="00875332"/>
    <w:rsid w:val="008777AC"/>
    <w:rsid w:val="00877DAF"/>
    <w:rsid w:val="00897824"/>
    <w:rsid w:val="008B09E5"/>
    <w:rsid w:val="008D372C"/>
    <w:rsid w:val="008F1568"/>
    <w:rsid w:val="00923FAE"/>
    <w:rsid w:val="009431B7"/>
    <w:rsid w:val="00953560"/>
    <w:rsid w:val="00990250"/>
    <w:rsid w:val="00997E05"/>
    <w:rsid w:val="009A41E6"/>
    <w:rsid w:val="009E53AA"/>
    <w:rsid w:val="009F409C"/>
    <w:rsid w:val="00A37B65"/>
    <w:rsid w:val="00A71FAC"/>
    <w:rsid w:val="00A7757E"/>
    <w:rsid w:val="00A81314"/>
    <w:rsid w:val="00A948A1"/>
    <w:rsid w:val="00AC5DDB"/>
    <w:rsid w:val="00AD0E93"/>
    <w:rsid w:val="00AD3854"/>
    <w:rsid w:val="00AD7847"/>
    <w:rsid w:val="00AE24DC"/>
    <w:rsid w:val="00AE7678"/>
    <w:rsid w:val="00AF7A97"/>
    <w:rsid w:val="00B109A5"/>
    <w:rsid w:val="00B3094E"/>
    <w:rsid w:val="00B319B1"/>
    <w:rsid w:val="00B401F4"/>
    <w:rsid w:val="00B4458D"/>
    <w:rsid w:val="00BE0AAD"/>
    <w:rsid w:val="00BE23AA"/>
    <w:rsid w:val="00BE6560"/>
    <w:rsid w:val="00BF4B0A"/>
    <w:rsid w:val="00C00A42"/>
    <w:rsid w:val="00C034E9"/>
    <w:rsid w:val="00C23CE9"/>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2478</TotalTime>
  <Pages>1</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83</cp:revision>
  <cp:lastPrinted>2022-02-21T06:38:00Z</cp:lastPrinted>
  <dcterms:created xsi:type="dcterms:W3CDTF">2018-09-24T09:07:00Z</dcterms:created>
  <dcterms:modified xsi:type="dcterms:W3CDTF">2022-02-21T06:40:00Z</dcterms:modified>
</cp:coreProperties>
</file>